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D9" w:rsidRDefault="00A969A8" w:rsidP="00CF18DA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e pontos-chave para compara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çã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o e inspe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çã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o de empresas de produ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çã</w:t>
      </w: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o estrangeiras de produtos aquáticos importados</w:t>
      </w:r>
    </w:p>
    <w:p w:rsidR="00490BD9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Número de registro:</w:t>
      </w:r>
    </w:p>
    <w:p w:rsidR="00490BD9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Nome da empresa:</w:t>
      </w:r>
    </w:p>
    <w:p w:rsidR="00490BD9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Endere</w:t>
      </w:r>
      <w:r>
        <w:rPr>
          <w:rFonts w:ascii="方正黑体_GBK" w:eastAsia="方正黑体_GBK" w:hint="eastAsia"/>
          <w:sz w:val="24"/>
          <w:szCs w:val="24"/>
        </w:rPr>
        <w:t>ç</w:t>
      </w:r>
      <w:r>
        <w:rPr>
          <w:rFonts w:ascii="方正黑体_GBK" w:eastAsia="方正黑体_GBK" w:hint="eastAsia"/>
          <w:sz w:val="24"/>
          <w:szCs w:val="24"/>
        </w:rPr>
        <w:t>o comercial:</w:t>
      </w:r>
    </w:p>
    <w:p w:rsidR="00490BD9" w:rsidRDefault="00A969A8">
      <w:pPr>
        <w:pStyle w:val="83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Data de preenchimento do formulário:</w:t>
      </w:r>
    </w:p>
    <w:p w:rsidR="00490BD9" w:rsidRDefault="00A969A8">
      <w:pPr>
        <w:pStyle w:val="10"/>
        <w:adjustRightInd w:val="0"/>
        <w:snapToGrid w:val="0"/>
        <w:spacing w:line="560" w:lineRule="exact"/>
        <w:ind w:firstLine="480"/>
        <w:rPr>
          <w:rFonts w:ascii="方正黑体_GBK" w:eastAsia="方正黑体_GBK" w:cs="仿宋"/>
          <w:sz w:val="24"/>
          <w:szCs w:val="24"/>
        </w:rPr>
      </w:pPr>
      <w:r>
        <w:rPr>
          <w:rFonts w:ascii="方正黑体_GBK" w:eastAsia="方正黑体_GBK" w:cs="仿宋" w:hint="eastAsia"/>
          <w:sz w:val="24"/>
          <w:szCs w:val="24"/>
        </w:rPr>
        <w:t>Instru</w:t>
      </w:r>
      <w:r>
        <w:rPr>
          <w:rFonts w:ascii="方正黑体_GBK" w:eastAsia="方正黑体_GBK" w:cs="仿宋" w:hint="eastAsia"/>
          <w:sz w:val="24"/>
          <w:szCs w:val="24"/>
        </w:rPr>
        <w:t>çõ</w:t>
      </w:r>
      <w:r>
        <w:rPr>
          <w:rFonts w:ascii="方正黑体_GBK" w:eastAsia="方正黑体_GBK" w:cs="仿宋" w:hint="eastAsia"/>
          <w:sz w:val="24"/>
          <w:szCs w:val="24"/>
        </w:rPr>
        <w:t>es para preenchimento do formulário:</w:t>
      </w:r>
    </w:p>
    <w:p w:rsidR="00490BD9" w:rsidRDefault="00A969A8">
      <w:pPr>
        <w:pStyle w:val="6010"/>
        <w:adjustRightInd w:val="0"/>
        <w:snapToGrid w:val="0"/>
        <w:spacing w:line="560" w:lineRule="exact"/>
        <w:ind w:left="11"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 xml:space="preserve">1. De acordo com o " Regulamento 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 xml:space="preserve">da República Popular da China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sobre o Registro e Gestão de Empresas de Produção Estrangeira de Alimentos Importados" (Ordem da Administração Geral da Alfândega nº 24 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 xml:space="preserve">8 </w:t>
      </w:r>
      <w:r>
        <w:rPr>
          <w:rFonts w:ascii="Times New Roman" w:eastAsia="方正仿宋_GBK" w:hAnsi="Times New Roman" w:cs="Times New Roman"/>
          <w:sz w:val="24"/>
          <w:szCs w:val="24"/>
        </w:rPr>
        <w:t xml:space="preserve">), as condições sanitárias das empresas de produção de produtos aquáticos no exterior que solicitam o registro na China deve cumprir as leis, regulamentos e padrões chineses. Os regulamentos relevantes cumprem os requisitos do Protocolo de Inspeção e Quarentena para Produtos Aquáticos Exportados para a China. Este formulário destina-se às autoridades estrangeiras responsáveis pelos produtos aquáticos importados para realizar inspeções oficiais das empresas de produção de produtos aquáticos com base nas principais condições e bases listadas, e em relação aos pontos de revisão, ao mesmo tempo, as empresas fabricantes de produtos aquáticos no exterior devem preencher; e enviar materiais de apoio com base nas </w:t>
      </w: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principais condições e bases listadas, o autoexame também pode ser realizado com base nos pontos-chave de revisão para autoavaliação antes de uma empresa solicitar o registro.</w:t>
      </w:r>
    </w:p>
    <w:p w:rsidR="00490BD9" w:rsidRDefault="00A969A8">
      <w:pPr>
        <w:pStyle w:val="6010"/>
        <w:adjustRightInd w:val="0"/>
        <w:snapToGrid w:val="0"/>
        <w:spacing w:line="560" w:lineRule="exact"/>
        <w:ind w:firstLine="480"/>
        <w:jc w:val="lef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2. As autoridades competentes no exterior e as empresas de produção de produtos aquáticos no exterior devem fazer determinações de conformidade com base na situação real das inspeções comparativas.</w:t>
      </w:r>
    </w:p>
    <w:p w:rsidR="00490BD9" w:rsidRDefault="00A969A8">
      <w:pPr>
        <w:pStyle w:val="24410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Times New Roman" w:eastAsia="方正仿宋_GBK" w:cs="Times New Roman"/>
          <w:sz w:val="24"/>
          <w:szCs w:val="24"/>
        </w:rPr>
        <w:t>3. Os materiais enviados devem ser preenchidos em chinês ou inglês, e o conteúdo deve ser verdadeiro e completo. Os anexos devem ser numerados. O número e o conteúdo do anexo devem corresponder exatamente ao número do projeto e ao conteúdo dos "Requisitos de preenchimento e materiais de certificação. " coluna. Ao mesmo tempo, deverá ser apresentado um diretório de anexos de materiais de apoio.</w:t>
      </w:r>
    </w:p>
    <w:p w:rsidR="00490BD9" w:rsidRDefault="00A969A8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  <w:r>
        <w:rPr>
          <w:rFonts w:ascii="方正仿宋_GBK" w:eastAsia="方正仿宋_GBK" w:cs="仿宋" w:hint="eastAsia"/>
          <w:sz w:val="24"/>
          <w:szCs w:val="24"/>
        </w:rPr>
        <w:t>4.</w:t>
      </w:r>
      <w:r>
        <w:rPr>
          <w:rFonts w:hint="eastAsia"/>
        </w:rPr>
        <w:t xml:space="preserve"> </w:t>
      </w:r>
      <w:r>
        <w:rPr>
          <w:rFonts w:ascii="方正仿宋_GBK" w:eastAsia="方正仿宋_GBK" w:cs="仿宋" w:hint="eastAsia"/>
          <w:sz w:val="24"/>
          <w:szCs w:val="24"/>
        </w:rPr>
        <w:t>"Produtos aquáticos" refere-se a produtos animais e vegetais aquáticos e seus produtos para consumo humano, incluindo águas-vivas, moluscos, crustáceos, equinodermes, cefalocordados, peixes, anfíbios, répteis, mamíferos aquáticos e outros animais aquáticos. Produtos e seus produtos, bem como algas e outros produtos vegetais marinhos e seus produtos, n</w:t>
      </w:r>
      <w:r>
        <w:rPr>
          <w:rFonts w:ascii="方正仿宋_GBK" w:eastAsia="方正仿宋_GBK" w:cs="仿宋" w:hint="eastAsia"/>
          <w:sz w:val="24"/>
          <w:szCs w:val="24"/>
        </w:rPr>
        <w:t>ã</w:t>
      </w:r>
      <w:r>
        <w:rPr>
          <w:rFonts w:ascii="方正仿宋_GBK" w:eastAsia="方正仿宋_GBK" w:cs="仿宋" w:hint="eastAsia"/>
          <w:sz w:val="24"/>
          <w:szCs w:val="24"/>
        </w:rPr>
        <w:t>o incluem animais aquáticos vivos e materiais de propaga</w:t>
      </w:r>
      <w:r>
        <w:rPr>
          <w:rFonts w:ascii="方正仿宋_GBK" w:eastAsia="方正仿宋_GBK" w:cs="仿宋" w:hint="eastAsia"/>
          <w:sz w:val="24"/>
          <w:szCs w:val="24"/>
        </w:rPr>
        <w:t>çã</w:t>
      </w:r>
      <w:r>
        <w:rPr>
          <w:rFonts w:ascii="方正仿宋_GBK" w:eastAsia="方正仿宋_GBK" w:cs="仿宋" w:hint="eastAsia"/>
          <w:sz w:val="24"/>
          <w:szCs w:val="24"/>
        </w:rPr>
        <w:t>o de plantas e animais aquáticos.</w:t>
      </w:r>
    </w:p>
    <w:p w:rsidR="00490BD9" w:rsidRDefault="00490BD9">
      <w:pPr>
        <w:pStyle w:val="6110"/>
        <w:adjustRightInd w:val="0"/>
        <w:snapToGrid w:val="0"/>
        <w:spacing w:line="560" w:lineRule="exact"/>
        <w:ind w:firstLine="480"/>
        <w:rPr>
          <w:rFonts w:ascii="方正仿宋_GBK" w:eastAsia="方正仿宋_GBK" w:cs="仿宋"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23"/>
        <w:gridCol w:w="4083"/>
        <w:gridCol w:w="2721"/>
        <w:gridCol w:w="3053"/>
        <w:gridCol w:w="1478"/>
        <w:gridCol w:w="1248"/>
      </w:tblGrid>
      <w:tr w:rsidR="00490BD9">
        <w:trPr>
          <w:trHeight w:val="522"/>
          <w:jc w:val="center"/>
        </w:trPr>
        <w:tc>
          <w:tcPr>
            <w:tcW w:w="1368" w:type="dxa"/>
            <w:vAlign w:val="center"/>
          </w:tcPr>
          <w:p w:rsidR="00490BD9" w:rsidRDefault="00A969A8">
            <w:pPr>
              <w:pStyle w:val="251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projeto</w:t>
            </w:r>
          </w:p>
        </w:tc>
        <w:tc>
          <w:tcPr>
            <w:tcW w:w="4306" w:type="dxa"/>
            <w:gridSpan w:val="2"/>
            <w:vAlign w:val="center"/>
          </w:tcPr>
          <w:p w:rsidR="00490BD9" w:rsidRDefault="00A969A8">
            <w:pPr>
              <w:pStyle w:val="25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Condições e base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24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Preenchimento de requisitos e materiais de apoio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24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Pontos de revisão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24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Determinação de conformidade</w:t>
            </w:r>
          </w:p>
        </w:tc>
        <w:tc>
          <w:tcPr>
            <w:tcW w:w="1248" w:type="dxa"/>
            <w:vAlign w:val="center"/>
          </w:tcPr>
          <w:p w:rsidR="00490BD9" w:rsidRDefault="00A969A8">
            <w:pPr>
              <w:pStyle w:val="246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Observação</w:t>
            </w:r>
          </w:p>
        </w:tc>
      </w:tr>
      <w:tr w:rsidR="00490BD9">
        <w:trPr>
          <w:trHeight w:val="516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24510"/>
              <w:spacing w:line="400" w:lineRule="exact"/>
              <w:jc w:val="center"/>
              <w:rPr>
                <w:rFonts w:asci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1. Situa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o básica da empresa</w:t>
            </w:r>
          </w:p>
        </w:tc>
      </w:tr>
      <w:tr w:rsidR="00490BD9">
        <w:trPr>
          <w:trHeight w:val="764"/>
          <w:jc w:val="center"/>
        </w:trPr>
        <w:tc>
          <w:tcPr>
            <w:tcW w:w="1368" w:type="dxa"/>
          </w:tcPr>
          <w:p w:rsidR="00490BD9" w:rsidRDefault="00A969A8">
            <w:pPr>
              <w:pStyle w:val="243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Situação básica da empresa</w:t>
            </w:r>
          </w:p>
        </w:tc>
        <w:tc>
          <w:tcPr>
            <w:tcW w:w="4306" w:type="dxa"/>
            <w:gridSpan w:val="2"/>
          </w:tcPr>
          <w:p w:rsidR="00490BD9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Artigos 5.º, 6.º, 7.º e 8.º do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 Regulamento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da República Popular da China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relativo ao registo e gestão de empresas estrangeiras de produção de alimentos importados" (Ordem da Administração Geral das Alfândegas n.º 24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8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)</w:t>
            </w:r>
          </w:p>
          <w:p w:rsidR="00490BD9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“ Medidas para a Administração da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Segurança Alimentar Importada e Exportada da Rep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blica Popular da China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”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(Despacho da Administração Geral das Alfândegas nº 249)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. O protocolo de inspeção e quarentena de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produtos aqu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exportados para a China assinado entre a autoridade competente do país requerente e a Administração Geral das Alfândegas .</w:t>
            </w:r>
          </w:p>
          <w:p w:rsidR="00490BD9" w:rsidRDefault="00490BD9">
            <w:pPr>
              <w:pStyle w:val="242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</w:tcPr>
          <w:p w:rsidR="00490BD9" w:rsidRDefault="00A969A8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1.1Preencher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formul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rio de informações b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sicas para empresas de produção no exterior de produtos aqu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importados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490BD9">
            <w:pPr>
              <w:pStyle w:val="241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</w:tcPr>
          <w:p w:rsidR="00490BD9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As empresas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devem preencher as informações com veracidade e as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informações básicas devem ser consistentes com as informações apresentadas pelas autoridades competentes do país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exportador e com as condições reais de produção e processamento.</w:t>
            </w:r>
          </w:p>
          <w:p w:rsidR="00490BD9" w:rsidRDefault="00A969A8">
            <w:pPr>
              <w:pStyle w:val="23810"/>
              <w:snapToGrid w:val="0"/>
              <w:spacing w:line="400" w:lineRule="exact"/>
              <w:jc w:val="lef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Os produtos aqu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destinados a serem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exportados para a China 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cumprir o escopo do produto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estipulado nos acordos, protocolos, memorandos, etc. relevantes sobre a inspe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çã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o e quarentena de produtos aquáticos exportados para a China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23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3. Os recursos humanos (empresas e funcionários) devem ser capazes de satisfazer os requisitos de produção e processamento empresarial e de inspecção e supervisão oficial.</w:t>
            </w:r>
          </w:p>
          <w:p w:rsidR="00490BD9" w:rsidRDefault="00A969A8">
            <w:pPr>
              <w:pStyle w:val="24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4. A capacidade de armazenamento de refrigeração deve atender à capacidade de produzir e armazenar continuamente produtos aquáticos congelados/resfriados.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23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2371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23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525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235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2. Localiza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o da empresa e layout da oficina</w:t>
            </w:r>
          </w:p>
        </w:tc>
      </w:tr>
      <w:tr w:rsidR="00490BD9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341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2.1 Seleção do local </w:t>
            </w: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ambiente de fábrica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"Padrões Nacionais de Segurança Alimentar, Especificações Gerais de Higiene para Produção de Alimentos" (GB14881)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490BD9" w:rsidRDefault="00A969A8">
            <w:pPr>
              <w:pStyle w:val="23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"Especificações Higiênicas para a Produção de Produtos Aquáticos" (GB 20941)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2.1.1 Fornecer uma planta da área fabril e indicar os nomes das diferentes áreas operacionais.</w:t>
            </w:r>
          </w:p>
          <w:p w:rsidR="00490BD9" w:rsidRDefault="00490BD9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23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2.1.2 Fornecer fotos do ambiente onde a fábrica está localizada. As fotos deverão indicar as informações do ambiente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circundante (áreas urbanas, suburbanas, industriais, agrícolas e residenciais) </w:t>
            </w: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lastRenderedPageBreak/>
              <w:t>1. O layout da área fabril atende às necessidades de produção e processamento.</w:t>
            </w:r>
          </w:p>
          <w:p w:rsidR="00490BD9" w:rsidRDefault="00A969A8">
            <w:pPr>
              <w:pStyle w:val="23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2. Não existem fontes de poluição ao redor da área fabril.</w:t>
            </w: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90BD9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2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2301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22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410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28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>2.2 Layout da oficina</w:t>
            </w:r>
          </w:p>
        </w:tc>
        <w:tc>
          <w:tcPr>
            <w:tcW w:w="4083" w:type="dxa"/>
          </w:tcPr>
          <w:p w:rsidR="00490BD9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"Especificações higiênicas gerais dos padrões nacionais de segurança alimentar para produção de alimentos" (GB14881)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490BD9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“Normas de Higiene para a Produção de Produtos Aquáticos”</w:t>
            </w:r>
          </w:p>
          <w:p w:rsidR="00490BD9" w:rsidRDefault="00A969A8">
            <w:pPr>
              <w:pStyle w:val="22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(GB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4.1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490BD9" w:rsidRDefault="00A969A8">
            <w:pPr>
              <w:pStyle w:val="22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2.2 Fornecer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uma planta baixa da oficina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marcando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o fluxo de pessoas, logística, fluxo de água, procedimentos de processamento e diferentes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reas de limpeza.</w:t>
            </w:r>
          </w:p>
        </w:tc>
        <w:tc>
          <w:tcPr>
            <w:tcW w:w="3053" w:type="dxa"/>
          </w:tcPr>
          <w:p w:rsidR="00490BD9" w:rsidRDefault="00A969A8">
            <w:pPr>
              <w:pStyle w:val="22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sz w:val="24"/>
                <w:szCs w:val="24"/>
              </w:rPr>
              <w:t>1. O layout da oficina deve ser razoável para atender aos requisitos de produção e processamento e evitar contaminação cruzada.</w:t>
            </w:r>
          </w:p>
        </w:tc>
        <w:tc>
          <w:tcPr>
            <w:tcW w:w="1478" w:type="dxa"/>
          </w:tcPr>
          <w:p w:rsidR="00490BD9" w:rsidRDefault="00490BD9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90BD9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2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2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22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521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221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3. Instala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çõ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es e equipamentos</w:t>
            </w:r>
          </w:p>
        </w:tc>
      </w:tr>
      <w:tr w:rsidR="00490BD9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201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>3.1 Equipamentos de produção e processamento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"Especificações higiênicas gerais do padrão nacional de segurança alimentar para produção de alimentos" (GB14881) .</w:t>
            </w:r>
          </w:p>
          <w:p w:rsidR="00490BD9" w:rsidRDefault="00A969A8">
            <w:pPr>
              <w:pStyle w:val="2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"Normas Nacionais de Segurança Alimentar e Especificações Higiênicas para a Produção de Produtos Aquáticos"</w:t>
            </w:r>
          </w:p>
          <w:p w:rsidR="00490BD9" w:rsidRDefault="00A969A8">
            <w:pPr>
              <w:pStyle w:val="4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 xml:space="preserve">(GB 20941 ) </w:t>
            </w:r>
            <w:r>
              <w:rPr>
                <w:rFonts w:ascii="Times New Roman" w:eastAsia="方正仿宋_GBK" w:cs="Times New Roman" w:hint="eastAsia"/>
              </w:rPr>
              <w:t>5.2.1 .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21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Fornecer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uma lista dos principais equipamentos e instalações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 capacidades de projeto e processamento.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21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As empresas 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estar equipadas com equipamentos de produção proporcionais à capacidade de produção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490BD9">
            <w:pPr>
              <w:pStyle w:val="2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21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21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764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141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Instalações de armazenamento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"Especificações higiênicas gerais dos padrões nacionais de segurança alimentar para produção de alimentos" (GB14881) .</w:t>
            </w:r>
          </w:p>
          <w:p w:rsidR="00490BD9" w:rsidRDefault="00A969A8">
            <w:pPr>
              <w:pStyle w:val="21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“Normas Nacionais de Segurança Alimentar e Especificações Higiênicas para a Produção de Produtos Aquáticos ”</w:t>
            </w:r>
          </w:p>
          <w:p w:rsidR="00490BD9" w:rsidRDefault="00A969A8">
            <w:pPr>
              <w:pStyle w:val="21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(GB 20941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2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3.2 Se houver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armazenamento refrigerado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descreva os requisitos de controle de temperatura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métodos de monitoramento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(se aplicável).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2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1. As instalações de armazenamento podem atender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aos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requisitos de temperatura de armazenamento do produto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20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color w:val="FF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2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46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207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t>gua /Gelo/Vapor</w:t>
            </w:r>
          </w:p>
        </w:tc>
      </w:tr>
      <w:tr w:rsidR="00490BD9">
        <w:trPr>
          <w:trHeight w:val="41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0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4.1 Água/vapor/gelo para produção e processamento (se aplicável)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"Padrões de higiene para água potável" (GB 5749)</w:t>
            </w:r>
          </w:p>
          <w:p w:rsidR="00490BD9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"Especificações Higiênicas do Padrão Nacional de Segurança Alimentar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para a Produção de Produtos Aquáticos" (GB 20941)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>.</w:t>
            </w:r>
          </w:p>
          <w:p w:rsidR="00490BD9" w:rsidRDefault="00A969A8">
            <w:pPr>
              <w:pStyle w:val="2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3. 5.1.1 em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" Especificações Gerais de Higiene para a Produção de Alimentos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dos Padrões Nacionais de Segurança Alimentar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" (GB14881) 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4.1.1 Fornecer fotos de fontes de água autopreparadas ou instalações secundárias de abastecimento de água e explicar se há uma pessoa dedicada responsável, bloqueio e outras medidas de proteção alimentar. (se aplicável)</w:t>
            </w:r>
          </w:p>
          <w:p w:rsidR="00490BD9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4.1.2 Fornecer plano de monitoramento da produção e processamento de água e gelo/vapor (quando aplicável) em contato direto com alimentos, incluindo itens de inspeção bacteriológica, métodos, frequência, registros, resultados de testes e os dois últimos relatórios de testes.</w:t>
            </w:r>
          </w:p>
          <w:p w:rsidR="00490BD9" w:rsidRDefault="00A969A8">
            <w:pPr>
              <w:pStyle w:val="20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4.1.3 Fornecer aditivos de caldeira usados na produção de vapor que está em contato direto com alimentos e explicar se eles atendem aos requisitos de produção e processamento de alimentos.</w:t>
            </w:r>
          </w:p>
        </w:tc>
        <w:tc>
          <w:tcPr>
            <w:tcW w:w="3053" w:type="dxa"/>
          </w:tcPr>
          <w:p w:rsidR="00490BD9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1. O plano de monitoramento da água de produção deve abranger todas as saídas de água da fábrica.</w:t>
            </w:r>
          </w:p>
          <w:p w:rsidR="00490BD9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2. Se o projeto e método atendem aos requisitos do "Padrão de Água Potável" (GB5749).</w:t>
            </w:r>
          </w:p>
          <w:p w:rsidR="00490BD9" w:rsidRDefault="00A969A8">
            <w:pPr>
              <w:pStyle w:val="20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As instalações subaquáticas de abastecimento de água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devem formular e implementar procedimentos de controlo de saneamento e dispor de medidas adequadas de protecção alimentar.</w:t>
            </w:r>
          </w:p>
          <w:p w:rsidR="00490BD9" w:rsidRDefault="00A969A8">
            <w:pPr>
              <w:pStyle w:val="20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4. Os aditivos para caldeiras utilizados na produção de vapor que está em contato direto com os alimentos devem atender aos requisitos de produção e processamento de alimentos.</w:t>
            </w:r>
          </w:p>
          <w:p w:rsidR="00490BD9" w:rsidRDefault="00490BD9">
            <w:pPr>
              <w:pStyle w:val="20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90BD9" w:rsidRDefault="00490BD9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90BD9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20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519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1981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5. Matérias-primas e materiais de embalagem</w:t>
            </w:r>
          </w:p>
        </w:tc>
      </w:tr>
      <w:tr w:rsidR="00490BD9">
        <w:trPr>
          <w:trHeight w:val="881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Aceitação de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e excipientes</w:t>
            </w:r>
          </w:p>
          <w:p w:rsidR="00490BD9" w:rsidRDefault="00490BD9">
            <w:pPr>
              <w:pStyle w:val="19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gerais dos padrões nacionais de segurança alimentar para produção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3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7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9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5.1 Fornecer medidas de aceitação para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matérias-primas e aditivos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, incluindo padrões e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aceitação.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9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Os padrões de aceitação de matérias-primas e aditivos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estão em conformidade com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os regulamentos e padrões chineses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9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19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Fonte de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</w:t>
            </w:r>
          </w:p>
          <w:p w:rsidR="00490BD9" w:rsidRDefault="00490BD9">
            <w:pPr>
              <w:pStyle w:val="19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7,2 em </w:t>
            </w:r>
            <w:r>
              <w:rPr>
                <w:rFonts w:ascii="Times New Roman" w:eastAsia="方正仿宋_GBK" w:cs="Times New Roman"/>
              </w:rPr>
              <w:t>"Especificações Higiênicas do Padrão Nacional de Segurança Alimentar para a Produção de Produtos Aquáticos" (GB 20941) .</w:t>
            </w:r>
          </w:p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>A utilização de miudezas, ovos, pele, barbatanas, escamas, ossos, conchas e outros tecidos não musculares de animais aquáticos como matérias-primas para produtos aquáticos deve cumprir as Normas Nacionais de Segurança Alimentar.</w:t>
            </w:r>
          </w:p>
          <w:p w:rsidR="00490BD9" w:rsidRDefault="00A969A8">
            <w:pPr>
              <w:pStyle w:val="38"/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 xml:space="preserve">Produtos aquáticos frescos e congelados de origem animal” (GB </w:t>
            </w:r>
            <w:r>
              <w:rPr>
                <w:rFonts w:ascii="Times New Roman" w:eastAsia="方正仿宋_GBK" w:cs="Times New Roman"/>
              </w:rPr>
              <w:lastRenderedPageBreak/>
              <w:t>2733).</w:t>
            </w:r>
          </w:p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As matérias-primas dos produtos aquáticos de origem animal devem cumprir o "Padrão Nacional de Segurança Alimentar para Produtos Aquáticos de Derivados de Animais Frescos e Congelados" (GB 2733)</w:t>
            </w:r>
          </w:p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4. </w:t>
            </w:r>
            <w:r>
              <w:rPr>
                <w:rFonts w:ascii="Times New Roman" w:eastAsia="方正仿宋_GBK" w:cs="Times New Roman"/>
              </w:rPr>
              <w:t>As matérias-primas dos produtos de algas devem cumprir a "Norma Nacional de Segurança Alimentar para Algas e Seus Produtos" (GB 19643).</w:t>
            </w:r>
          </w:p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5. </w:t>
            </w:r>
            <w:r>
              <w:rPr>
                <w:rFonts w:ascii="Times New Roman" w:eastAsia="方正仿宋_GBK" w:cs="Times New Roman"/>
              </w:rPr>
              <w:t>Tabela 1 dos "Limites dos Padrões Nacionais de Segurança Alimentar para Bactérias Patogênicas em Alimentos" (GB29921).</w:t>
            </w:r>
          </w:p>
          <w:p w:rsidR="00490BD9" w:rsidRDefault="00A969A8">
            <w:pPr>
              <w:pStyle w:val="3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6. 3,6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e 3,7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Padrão Nacional de Segurança Alimentar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Produtos Aquáticos de Base Animal" (GB10136)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5.2.1 Se 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rias-primas forem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matérias-primas de produtos aquáticos ou matérias-primas de produtos aquáticos que contenham biotoxinas, forneça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relatório de teste mais recente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(quando aplicável)</w:t>
            </w:r>
          </w:p>
          <w:p w:rsidR="00490BD9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5.2.2 Se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for uma embarcação de pesca, fornecer documentos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oficiais de licença e descrições dos métodos de pesca da área de operação da embarcação de pesca, tempo de operação, espécies de pesca. (quando aplicável)</w:t>
            </w:r>
          </w:p>
          <w:p w:rsidR="00490BD9" w:rsidRDefault="00A969A8">
            <w:pPr>
              <w:pStyle w:val="19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5.2.3 Caso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se trate de matéria-prima de criação, fornecer o certificado de qualificação da fazenda de criação. (quando aplicável)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para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que cont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ê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 biotoxinas, como moluscos bivalves e baiacu, devem ser testadas quanto a toxinas e inspecionadas e processadas de acordo com os regulamentos relevantes para garantir a segurança das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rias-primas.</w:t>
            </w:r>
          </w:p>
          <w:p w:rsidR="00490BD9" w:rsidRDefault="00A969A8">
            <w:pPr>
              <w:pStyle w:val="19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rias-primas utilizadas devem cumprir os requisitos dos acordos,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protocolos, memorandos e outros regulamentos relevantes sobre a inspeção e quarentena de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exportados para a China.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  <w:p w:rsidR="00490BD9" w:rsidRDefault="00490BD9">
            <w:pPr>
              <w:pStyle w:val="18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18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5.3 Matérias-primas 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mariscos bivalves (quando aplicável</w:t>
            </w:r>
          </w:p>
          <w:p w:rsidR="00490BD9" w:rsidRDefault="00490BD9">
            <w:pPr>
              <w:pStyle w:val="18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18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7,2 em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"Especificações Higiênicas do Padrão Nacional de Segurança Alimentar para a Produção de Produtos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Aquáticos" (GB 20941) .</w:t>
            </w:r>
          </w:p>
          <w:p w:rsidR="00490BD9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Tabela 1 de "Limites do Padrão Nacional de Segurança Alimentar de Bactérias Patogênicas em Alimentos" (GB29921)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3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3,6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3,7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</w:t>
            </w:r>
            <w:r>
              <w:rPr>
                <w:rFonts w:ascii="Times New Roman" w:eastAsia="方正仿宋_GBK" w:cs="Times New Roman"/>
              </w:rPr>
              <w:t xml:space="preserve">Padrão Nacional de Segurança Alimentar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Produtos Aquáticos de Base Animal" (GB10136-2015)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5.3.1 Fornecer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 descrição da localização da zona marítima de onde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provêm as matérias-primas de marisco e o certificado oficial de licença do mariscador bivalve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  <w:p w:rsidR="00490BD9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5.3.2 Fornecer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todos de tratamento de purificação para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de marisco.</w:t>
            </w:r>
          </w:p>
          <w:p w:rsidR="00490BD9" w:rsidRDefault="00A969A8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5.3.3 Fornecer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medidas de monitoramento para toxinas de moluscos em moluscos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crus .</w:t>
            </w:r>
          </w:p>
          <w:p w:rsidR="00490BD9" w:rsidRDefault="00490BD9">
            <w:pPr>
              <w:pStyle w:val="18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Os moluscos bivalves devem provir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guas de aquicultura ou de pesca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oficialmente autorizadas e ser purificados quando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rio. Os produtores ou apanhadores de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de marisco devem possuir licença da autoridade oficial competente.</w:t>
            </w:r>
          </w:p>
          <w:p w:rsidR="00490BD9" w:rsidRDefault="00A969A8">
            <w:pPr>
              <w:pStyle w:val="18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Realizar regularmente testes de toxinas de moluscos em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de marisco para verificar a segurança das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8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□Não aplicável</w:t>
            </w: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18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8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Agentes Alimentares (quando aplicável)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>Artigo 7.3 das "Normas Nacionais de Segurança Alimentar, Especificações Gerais de Higiene para a Produção de Alimentos" (GB14881).</w:t>
            </w:r>
          </w:p>
          <w:p w:rsidR="00490BD9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>Artigo 7.3 das "Especificações Higiênicas do Padrão Nacional de Segurança Alimentar para a Produção de Produtos Aquáticos" (GB 20941).</w:t>
            </w:r>
          </w:p>
          <w:p w:rsidR="00490BD9" w:rsidRDefault="00A969A8">
            <w:pPr>
              <w:pStyle w:val="3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3. </w:t>
            </w:r>
            <w:r>
              <w:rPr>
                <w:rFonts w:ascii="Times New Roman" w:eastAsia="方正仿宋_GBK" w:cs="Times New Roman"/>
              </w:rPr>
              <w:t>"Normas Nacionais de Segurança Alimentar para o Uso de Aditivos Alimentares" (GB 2760).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5.4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Lista de aditivos alimentares utilizados na produção e processamento (incluindo nome, finalidade, quantidade de adição, etc.).</w:t>
            </w:r>
          </w:p>
          <w:p w:rsidR="00490BD9" w:rsidRDefault="00490BD9">
            <w:pPr>
              <w:pStyle w:val="18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7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1. Os aditivos alimentares utilizados na produção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cumprem os regulamentos da China sobre o uso de aditivos alimentares.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7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17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7610"/>
              <w:adjustRightInd w:val="0"/>
              <w:snapToGrid w:val="0"/>
              <w:spacing w:line="400" w:lineRule="exact"/>
              <w:rPr>
                <w:rFonts w:ascii="方正仿宋_GBK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/>
              <w:t xml:space="preserve">5.5 Materiais </w:t>
            </w:r>
            <w:r>
              <w:rPr>
                <w:rFonts w:ascii="Times New Roman" w:eastAsia="方正仿宋_GBK" w:cs="Times New Roman" w:hint="eastAsia"/>
                <w:snapToGrid w:val="0"/>
                <w:sz w:val="24"/>
                <w:szCs w:val="24"/>
              </w:rPr>
              <w:t>de embalagem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8,5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Especificações higiênicas gerais </w:t>
            </w:r>
            <w:r>
              <w:rPr>
                <w:rFonts w:ascii="Times New Roman" w:eastAsia="方正仿宋_GBK" w:cs="Times New Roman"/>
              </w:rPr>
              <w:t xml:space="preserve">dos padrões nacionais de segurança alimentar para produção de alimentos" (GB14881)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490BD9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8,5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Especificações Higiênicas </w:t>
            </w:r>
            <w:r>
              <w:rPr>
                <w:rFonts w:ascii="Times New Roman" w:eastAsia="方正仿宋_GBK" w:cs="Times New Roman"/>
              </w:rPr>
              <w:t xml:space="preserve">do Padrão Nacional de Segurança Alimentar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a Produção de Produtos Aquáticos" (GB 20941)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490BD9" w:rsidRDefault="00A969A8">
            <w:pPr>
              <w:pStyle w:val="3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3. Acordos , memorandos e protocolos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>bilaterais relevantes de inspeção e quarentena 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5.5.1 Fornecer comprovação de que os materiais de embalagem internos e externos são adequados para embalagem do produto.</w:t>
            </w:r>
          </w:p>
          <w:p w:rsidR="00490BD9" w:rsidRDefault="00A969A8">
            <w:pPr>
              <w:pStyle w:val="17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5.5.2 Fornecer estilos de etiqueta para produtos acabados a serem exportados para a China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1. Os materiais de embalagem não afetam a segurança alimentar e as características do produto sob condições específicas de armazenamento e uso.</w:t>
            </w:r>
          </w:p>
          <w:p w:rsidR="00490BD9" w:rsidRDefault="00490BD9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As marcações nas embalagens devem cumprir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os requisitos dos acordos, memorandos e protocolos bilaterais de inspeção e quarentena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490BD9" w:rsidRDefault="00490BD9">
            <w:pPr>
              <w:pStyle w:val="17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Em conformidade com</w:t>
            </w:r>
          </w:p>
          <w:p w:rsidR="00490BD9" w:rsidRDefault="00A969A8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490BD9">
            <w:pPr>
              <w:pStyle w:val="17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490BD9" w:rsidRDefault="00490BD9">
            <w:pPr>
              <w:pStyle w:val="172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45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17110"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6Controle de produ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çã</w:t>
            </w:r>
            <w:r>
              <w:rPr>
                <w:rFonts w:ascii="方正楷体_GBK" w:eastAsia="方正楷体_GBK" w:cs="黑体" w:hint="eastAsia"/>
                <w:b/>
                <w:bCs/>
                <w:color w:val="000000"/>
                <w:sz w:val="24"/>
                <w:szCs w:val="24"/>
              </w:rPr>
              <w:t>o e processamento</w:t>
            </w: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Estabelecimento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operação do sistema HACCP</w:t>
            </w:r>
          </w:p>
          <w:p w:rsidR="00490BD9" w:rsidRDefault="00490BD9">
            <w:pPr>
              <w:pStyle w:val="17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8.1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</w:t>
            </w:r>
            <w:r>
              <w:rPr>
                <w:rFonts w:ascii="Times New Roman" w:eastAsia="方正仿宋_GBK" w:cs="Times New Roman"/>
              </w:rPr>
              <w:lastRenderedPageBreak/>
              <w:t xml:space="preserve">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"Requisitos Gerais para Empresas de Produção de Alimentos sob o Sistema de Análise de Perigos e Pontos Críticos de Controle (HACCP)" (GB/T 27341)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490BD9">
            <w:pPr>
              <w:pStyle w:val="169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fluxogramas de produção e processamento,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planilhas de análise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perigos e planos HACCP para todos os produtos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a serem exportados para a China .</w:t>
            </w:r>
          </w:p>
          <w:p w:rsidR="00490BD9" w:rsidRDefault="00A969A8">
            <w:pPr>
              <w:pStyle w:val="16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6.1.2 Fornecer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registros de monitoramento de pontos de PCC, registros de correção e formulários de amostra de registros de verificação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O plano HACCP deve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analisar e controlar eficazmente os perigos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biológicos, físicos e químicos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O processo de produção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deve ser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razoável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para evitar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contaminação cruzada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167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A fixação dos pontos do PCC deve ser científica e viável, e as medidas corretivas e de verificação devem ser apropriadas.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6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6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6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6.2 Controle de temperatura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1.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8. 2.2.1.4, 8.2.2.1.6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Especificações Higiênicas </w:t>
            </w:r>
            <w:r>
              <w:rPr>
                <w:rFonts w:ascii="Times New Roman" w:eastAsia="方正仿宋_GBK" w:cs="Times New Roman"/>
              </w:rPr>
              <w:t xml:space="preserve">do Padrão Nacional de Segurança Alimentar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para a Produção de Produtos Aquáticos" (GB 20941)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.</w:t>
            </w:r>
          </w:p>
          <w:p w:rsidR="00490BD9" w:rsidRDefault="00A969A8">
            <w:pPr>
              <w:pStyle w:val="3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2.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8.2.2.2.1 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(aplic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á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vel a produtos aqu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>á</w:t>
            </w:r>
            <w:r>
              <w:rPr>
                <w:rFonts w:ascii="Times New Roman" w:eastAsia="方正仿宋_GBK" w:cs="Times New Roman" w:hint="eastAsia"/>
                <w:color w:val="auto"/>
                <w:kern w:val="2"/>
              </w:rPr>
              <w:t xml:space="preserve">ticos refrigerados) em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 xml:space="preserve">" Especificações Higiênicas </w:t>
            </w:r>
            <w:r>
              <w:rPr>
                <w:rFonts w:ascii="Times New Roman" w:eastAsia="方正仿宋_GBK" w:cs="Times New Roman"/>
              </w:rPr>
              <w:t xml:space="preserve">do Padrão Nacional de Segurança Alimentar </w:t>
            </w:r>
            <w:r>
              <w:rPr>
                <w:rFonts w:ascii="Times New Roman" w:eastAsia="方正仿宋_GBK" w:cs="Times New Roman"/>
                <w:color w:val="auto"/>
                <w:kern w:val="2"/>
              </w:rPr>
              <w:t>para a Produção de Produtos Aquáticos" (GB 20941) 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6.2.1 Fornecer o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 de descongelamento das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 e os requisitos de tempo de descongelamento e controle de temperatura (se aplic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vel).</w:t>
            </w:r>
          </w:p>
          <w:p w:rsidR="00490BD9" w:rsidRDefault="00A969A8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6.2.2 Fornecer requisitos de controle de temperatura e equipamentos de monitoramento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temperatura para oficinas de processamento e armaz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ns de armazenamento. (Aplic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vel a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refrigerados).</w:t>
            </w:r>
          </w:p>
          <w:p w:rsidR="00490BD9" w:rsidRDefault="00490BD9">
            <w:pPr>
              <w:pStyle w:val="16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Controle o tempo de descongelamento e a temperatura das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rias-primas.</w:t>
            </w:r>
          </w:p>
          <w:p w:rsidR="00490BD9" w:rsidRDefault="00A969A8">
            <w:pPr>
              <w:pStyle w:val="16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2. As oficinas de processamento de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refrigerados devem ter medidas de controle de temperatura. Os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processados devem ser transferidos para um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ambiente refrigerado o mais 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pido poss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vel.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6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6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5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congelados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</w:t>
            </w:r>
            <w:r>
              <w:rPr>
                <w:rFonts w:ascii="Times New Roman" w:eastAsia="方正仿宋_GBK" w:cs="Times New Roman" w:hint="eastAsia"/>
              </w:rPr>
              <w:t xml:space="preserve">2.2.2.2 em </w:t>
            </w:r>
            <w:r>
              <w:rPr>
                <w:rFonts w:ascii="Times New Roman" w:eastAsia="方正仿宋_GBK" w:cs="Times New Roman"/>
              </w:rPr>
              <w:t>"Especificações Higiênicas do Padrão Nacional de Segurança Alimentar para a Produção de Produtos Aquáticos" (GB 20941) .</w:t>
            </w:r>
          </w:p>
          <w:p w:rsidR="00490BD9" w:rsidRDefault="00490BD9">
            <w:pPr>
              <w:pStyle w:val="32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6.3.1 Fornecer os requisitos de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todo de congelamento, tempo e controle de temperatura de congelamento para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congelados e a base para sua determinação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490BD9" w:rsidRDefault="00A969A8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6.3.2 Caso os produtos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aquáticos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sejam consumidos crus, fornecer temperatura e tempo de tratamento a frio.</w:t>
            </w:r>
          </w:p>
          <w:p w:rsidR="00490BD9" w:rsidRDefault="00490BD9">
            <w:pPr>
              <w:pStyle w:val="15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Determine o tempo e a temperatura de congelamento de acordo com a espessura, forma e volume de produção dos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para garantir que eles passem pela zona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xima de produção de cristais de gelo o mais r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pido poss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vel.</w:t>
            </w:r>
          </w:p>
          <w:p w:rsidR="00490BD9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Ao consumir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crus, deve haver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todos de tratamento a frio suficientes para garantir que os parasitas prejudiciais ao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corpo humano sejam mortos. Conservar congelado por 7 dias em temperatura ambiente abaixo de -20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C;</w:t>
            </w:r>
          </w:p>
          <w:p w:rsidR="00490BD9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Congelar 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ficar 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lido a uma temperatura ambiente de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ou inferior e armazenar durante 15 horas a uma temperatura ambiente de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ou inferior;</w:t>
            </w:r>
          </w:p>
          <w:p w:rsidR="00490BD9" w:rsidRDefault="00A969A8">
            <w:pPr>
              <w:pStyle w:val="15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Congelar 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ficar 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lido a uma temperatura ambiente de -35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ou inferior e armazenar durante 24 horas a uma temperatura ambiente de -20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°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 ou inferior.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 Em conformidade com</w:t>
            </w:r>
          </w:p>
          <w:p w:rsidR="00490BD9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5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5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5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secos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(quando aplicável)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1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8.2.2.2.3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5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Fornecer tempo de secagem, temperatura de secagem, umidade ambiental, atividade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gua do produto acabado e m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todos de embalagem 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armazenamento para processamento de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secos.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5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Certifique-se de que a atividade de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gua dos produtos secos esteja dentro de uma faixa segura.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5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5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4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em conserva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(quando aplicável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3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8.2.2.2.4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4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6.5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Fornecer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açúcar/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salinidade de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em conserva.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4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Deve ser utilizada salinidade adequada na produção de produtos em conserva para evitar a reprodução de bact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 não halof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licas.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46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4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44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frutos do mar enlatados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( quando aplicável)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8.2.2.2.5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Fornecer requisitos de temperatura e tempo de esterilização para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ticos enlatados de diferentes especificações e 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ltimo registro de esterilização/temperatura.</w:t>
            </w:r>
          </w:p>
          <w:p w:rsidR="00490BD9" w:rsidRDefault="00A969A8">
            <w:pPr>
              <w:pStyle w:val="14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6.6.2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Fornecer relat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ó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rios de penetração e distribuição de calor para recipientes de esterilização de produtos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enlatados de diferentes especificações.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4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1. Devem ser garantidos temperatura e tempo de esterilização suficientes para produtos aqu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ticos enlatados.</w:t>
            </w: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 Não atende</w:t>
            </w:r>
          </w:p>
          <w:p w:rsidR="00490BD9" w:rsidRDefault="00490BD9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490BD9">
            <w:pPr>
              <w:pStyle w:val="14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4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139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>7. Limpeza e desinfec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çã</w:t>
            </w: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o</w:t>
            </w: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38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>7.1 Limpeza e desinfecção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"Padrões Nacionais de Segurança Alimentar, Especificações Gerais de Higiene para Produção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2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8.2.1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3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Fornecer medidas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de limpeza e desinfecção , incluindo métodos e frequência de limpeza e desinfecção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verificação dos efeitos da limpeza e desinfecção.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36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As medidas de limpeza e desinfecção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devem ser capazes de eliminar a contaminação cruzada e atender aos requisitos de higiene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35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3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33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Monitoramento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microbiano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ambiental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7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8.2.2.1.2 </w:t>
            </w:r>
            <w:r>
              <w:rPr>
                <w:rFonts w:ascii="Times New Roman" w:eastAsia="方正仿宋_GBK" w:cs="Times New Roman" w:hint="eastAsia"/>
              </w:rPr>
              <w:t xml:space="preserve">e 8.2.2.1.3 em </w:t>
            </w:r>
            <w:r>
              <w:rPr>
                <w:rFonts w:ascii="Times New Roman" w:eastAsia="方正仿宋_GBK" w:cs="Times New Roman"/>
              </w:rPr>
              <w:t>"Especificações Higiênicas do Padrão Nacional de Segurança Alimentar para a Produção de Produtos Aquáticos" (GB 20941) 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3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7.2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Fornecer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um plano de monitoramento microbiano do produto para o meio ambiente e o processo de produção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, incluindo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itens de monitoramento, frequência, padrões de julgamento 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medidas corretivas para resultados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positivos.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O foco da monitorização deve abranger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reas onde os microrganismos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são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propensos a esconder-se e a reproduzir-se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490BD9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Configuração do ponto de amostragem.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Por exemplo, quando as principais actividades de manutenção, construção ou condições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sanit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 se deteriorarem, os pontos de amostragem necess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rios serão adicionados ao plano de monitorização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490BD9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Ajustar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a frequ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ê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ncia da implementação do plano de monitoramento ambiental com base nos resultados dos testes e na gravidade dos riscos de poluição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  <w:p w:rsidR="00490BD9" w:rsidRDefault="00A969A8">
            <w:pPr>
              <w:pStyle w:val="13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4. Medidas corretivas para resultados positivos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□Conforme com</w:t>
            </w:r>
          </w:p>
          <w:p w:rsidR="00490BD9" w:rsidRDefault="00A969A8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30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2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128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>8. Controle de produtos químicos, resíduos, pragas e roedores</w:t>
            </w: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2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Controle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Químico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gerais dos padrões nacionais de segurança alimentar para produção de alimentos" (GB14881-2013)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8.3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490BD9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  <w:p w:rsidR="00490BD9" w:rsidRDefault="00490BD9">
            <w:pPr>
              <w:pStyle w:val="2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8.1 Descreva resumidamente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os </w:t>
            </w: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 xml:space="preserve">requisitos de uso e armazenamento de produtos químicos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490BD9">
            <w:pPr>
              <w:pStyle w:val="12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  <w:p w:rsidR="00490BD9" w:rsidRDefault="00490BD9">
            <w:pPr>
              <w:pStyle w:val="2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25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1. Evite que os produtos qu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micos utilizados contaminem os produtos.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A969A8">
            <w:pPr>
              <w:pStyle w:val="12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aplicável</w:t>
            </w:r>
          </w:p>
        </w:tc>
        <w:tc>
          <w:tcPr>
            <w:tcW w:w="1248" w:type="dxa"/>
          </w:tcPr>
          <w:p w:rsidR="00490BD9" w:rsidRDefault="00490BD9">
            <w:pPr>
              <w:pStyle w:val="12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22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8.2Gestão de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t>resíduos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8. 1.4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 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490BD9">
            <w:pPr>
              <w:pStyle w:val="2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Fornecer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fotos da distinção entre recipientes de produtos comestíveis e recipientes de armazenamento de resíduos na oficina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121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8.2.2 Descreva resumidamente os requisitos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para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procedimentos de descarte de resíduos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Os recipientes de produtos comestíveis e os recipientes de armazenamento de resíduos na oficina devem ser claramente marcados e diferenciados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120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Os res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duos devem ser armazenados separadamente e processados a tempo de evitar poluição na produção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1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1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17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 xml:space="preserve">8.3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Controle de pragas e roedores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6,4 em </w:t>
            </w:r>
            <w:r>
              <w:rPr>
                <w:rFonts w:ascii="Times New Roman" w:eastAsia="方正仿宋_GBK" w:cs="Times New Roman"/>
              </w:rPr>
              <w:t>"Especificações higiênicas gerais do padrão nacional de segurança alimentar para produção de alimentos" (GB14881)</w:t>
            </w:r>
          </w:p>
          <w:p w:rsidR="00490BD9" w:rsidRDefault="00490BD9">
            <w:pPr>
              <w:pStyle w:val="23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1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Fornecer m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todos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controle de pragas e planos de layout.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 realizado por terceiros, forneça qualificações de terceiros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O impacto das pragas de insectos e roedores na segurança e sa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 da produção deve ser evitado.</w:t>
            </w:r>
          </w:p>
          <w:p w:rsidR="00490BD9" w:rsidRDefault="00490BD9">
            <w:pPr>
              <w:pStyle w:val="11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90BD9" w:rsidRDefault="00490BD9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1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13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112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方正楷体_GBK" w:eastAsia="方正楷体_GBK" w:cs="Times New Roman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t>9. Rastreabilidade do produto</w:t>
            </w: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11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t xml:space="preserve">9 </w:t>
            </w:r>
            <w:r>
              <w:rPr>
                <w:rFonts w:ascii="Times New Roman" w:eastAsia="方正仿宋_GBK" w:cs="Times New Roman"/>
                <w:snapToGrid w:val="0"/>
                <w:sz w:val="24"/>
                <w:szCs w:val="24"/>
              </w:rPr>
              <w:lastRenderedPageBreak/>
              <w:t>Rastreabilidade e recall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11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</w:t>
            </w:r>
            <w:r>
              <w:rPr>
                <w:rFonts w:ascii="Times New Roman" w:eastAsia="方正仿宋_GBK" w:cs="Times New Roman"/>
              </w:rPr>
              <w:lastRenderedPageBreak/>
              <w:t xml:space="preserve">gerais dos padrões nacionais de segurança alimentar para produção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22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"Especificações Higiênicas para a Produção de Produtos Aquáticos" (GB 20941 </w:t>
            </w:r>
            <w:r>
              <w:rPr>
                <w:rFonts w:ascii="Times New Roman" w:eastAsia="方正仿宋_GBK" w:cs="Times New Roman" w:hint="eastAsia"/>
              </w:rPr>
              <w:t xml:space="preserve">) </w:t>
            </w:r>
            <w:r>
              <w:rPr>
                <w:rFonts w:ascii="Times New Roman" w:eastAsia="方正仿宋_GBK" w:cs="Times New Roman"/>
              </w:rPr>
              <w:t xml:space="preserve">11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1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Descrever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resumidamente o procedimento de rastreabilidade do produto, tomando como exemplo o n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mero de lote de um lote de produtos acabados para explicar como rastrear o produto acabado 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 xml:space="preserve"> a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ria-prima.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09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 xml:space="preserve">1. Devem ser estabelecidos 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lastRenderedPageBreak/>
              <w:t>procedimentos de rastreabilidade para alcançar a rastreabilidade bidirecional de toda a cadeia de mat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sz w:val="24"/>
                <w:szCs w:val="24"/>
              </w:rPr>
              <w:t>rias-primas, processos de produção e processamento e produtos acabados.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 xml:space="preserve">□Conforme </w:t>
            </w:r>
            <w:r>
              <w:rPr>
                <w:rFonts w:ascii="Times New Roman" w:eastAsia="方正仿宋_GBK" w:cs="Times New Roman"/>
                <w:sz w:val="24"/>
                <w:szCs w:val="24"/>
              </w:rPr>
              <w:lastRenderedPageBreak/>
              <w:t>com</w:t>
            </w:r>
          </w:p>
          <w:p w:rsidR="00490BD9" w:rsidRDefault="00A969A8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08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07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211"/>
              <w:snapToGrid w:val="0"/>
              <w:spacing w:line="400" w:lineRule="exact"/>
              <w:jc w:val="center"/>
              <w:rPr>
                <w:rFonts w:ascii="方正楷体_GBK" w:eastAsia="方正楷体_GBK" w:cs="Times New Roman"/>
                <w:b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lastRenderedPageBreak/>
              <w:t>10. Gest</w:t>
            </w: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t>ã</w:t>
            </w:r>
            <w:r>
              <w:rPr>
                <w:rFonts w:ascii="方正楷体_GBK" w:eastAsia="方正楷体_GBK" w:cs="Times New Roman" w:hint="eastAsia"/>
                <w:b/>
                <w:bCs/>
                <w:color w:val="auto"/>
                <w:kern w:val="2"/>
              </w:rPr>
              <w:t>o e treinamento de pessoal</w:t>
            </w: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20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10.1 Gestão de saúde e higiene do pessoal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"Padrões Nacionais de Segurança Alimentar Especificações Gerais de Higiene para Produção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6.3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490BD9">
            <w:pPr>
              <w:pStyle w:val="1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0610"/>
              <w:tabs>
                <w:tab w:val="left" w:pos="312"/>
              </w:tabs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Fornecer aos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funcionários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requisitos de gestão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 saúde pré-emprego e de exame físico dos funcionários 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Antes de contratar trabalhadores,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estes 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ser submetidos a exame físico e comprovar que estão aptos para trabalhar numa empresa de transformação alimentar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490BD9" w:rsidRDefault="00A969A8">
            <w:pPr>
              <w:pStyle w:val="10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Os funcion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rios devem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passar por exames físicos regulares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manter registros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04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7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6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10.2 Treinamento de pessoal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gerais dos padrões nacionais de segurança alimentar para produção de alimentos" (GB14881)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</w:t>
            </w:r>
            <w:r>
              <w:rPr>
                <w:rFonts w:ascii="Times New Roman" w:eastAsia="方正仿宋_GBK" w:cs="Times New Roman"/>
              </w:rPr>
              <w:t xml:space="preserve">12 </w:t>
            </w:r>
            <w:r>
              <w:rPr>
                <w:rFonts w:ascii="Times New Roman" w:eastAsia="方正仿宋_GBK" w:cs="Times New Roman" w:hint="eastAsia"/>
              </w:rPr>
              <w:t xml:space="preserve">em </w:t>
            </w:r>
            <w:r>
              <w:rPr>
                <w:rFonts w:ascii="Times New Roman" w:eastAsia="方正仿宋_GBK" w:cs="Times New Roman"/>
              </w:rPr>
              <w:t xml:space="preserve">"Especificações Higiênicas do Padrão Nacional de Segurança Alimentar para a Produção de Produtos Aquáticos" (GB20941)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490BD9">
            <w:pPr>
              <w:pStyle w:val="15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10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Fornecer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aos funcionários planos anuais de treinamento, conteúdo,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avaliações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registros.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10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1. O conte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do do treinamento deve abranger o memorando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 inspeção e quarentena de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produtos aqu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ticos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exportados para a China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, acordos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protocolos, regulamentos e padrões chineses 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etc.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101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</w:p>
          <w:p w:rsidR="00490BD9" w:rsidRDefault="00490BD9">
            <w:pPr>
              <w:pStyle w:val="14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13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490BD9">
        <w:trPr>
          <w:trHeight w:val="400"/>
          <w:jc w:val="center"/>
        </w:trPr>
        <w:tc>
          <w:tcPr>
            <w:tcW w:w="12926" w:type="dxa"/>
            <w:gridSpan w:val="6"/>
            <w:vAlign w:val="center"/>
          </w:tcPr>
          <w:p w:rsidR="00490BD9" w:rsidRDefault="00A969A8">
            <w:pPr>
              <w:pStyle w:val="12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t>11. Autoexame e autocontrole</w:t>
            </w:r>
          </w:p>
        </w:tc>
        <w:tc>
          <w:tcPr>
            <w:tcW w:w="1248" w:type="dxa"/>
          </w:tcPr>
          <w:p w:rsidR="00490BD9" w:rsidRDefault="00490BD9">
            <w:pPr>
              <w:pStyle w:val="111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490BD9">
        <w:trPr>
          <w:trHeight w:val="609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101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1. </w:t>
            </w:r>
            <w:r>
              <w:rPr>
                <w:rFonts w:ascii="Times New Roman" w:eastAsia="方正仿宋_GBK" w:cs="Times New Roman" w:hint="eastAsia"/>
              </w:rPr>
              <w:t>Inspeção de produto acabado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1. 9 em </w:t>
            </w:r>
            <w:r>
              <w:rPr>
                <w:rFonts w:ascii="Times New Roman" w:eastAsia="方正仿宋_GBK" w:cs="Times New Roman"/>
              </w:rPr>
              <w:t>"Especificações higiênicas gerais dos padrões nacionais de segurança alimentar para produção de alimentos" (GB14881) 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2. 9 em </w:t>
            </w:r>
            <w:r>
              <w:rPr>
                <w:rFonts w:ascii="Times New Roman" w:eastAsia="方正仿宋_GBK" w:cs="Times New Roman"/>
              </w:rPr>
              <w:t>"Especificações Higiênicas do Padrão Nacional de Segurança Alimentar para a Produção de Produtos Aquáticos" (GB20941) 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3. </w:t>
            </w:r>
            <w:r>
              <w:rPr>
                <w:rFonts w:ascii="Times New Roman" w:eastAsia="方正仿宋_GBK" w:cs="Times New Roman"/>
              </w:rPr>
              <w:t>"Padrão Nacional de Segurança Alimentar para Produtos Aquáticos Frescos e Congelados de Base Animal" (GB 2733).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4. </w:t>
            </w:r>
            <w:r>
              <w:rPr>
                <w:rFonts w:ascii="Times New Roman" w:eastAsia="方正仿宋_GBK" w:cs="Times New Roman"/>
              </w:rPr>
              <w:t>"Padrão Nacional de Segurança Alimentar para Produtos Aquáticos de Base Animal" (GB 10136).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5. </w:t>
            </w:r>
            <w:r>
              <w:rPr>
                <w:rFonts w:ascii="Times New Roman" w:eastAsia="方正仿宋_GBK" w:cs="Times New Roman"/>
              </w:rPr>
              <w:t>"Padrão Nacional de Segurança Alimentar para Condimentos Aquáticos" ( GB 10133).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6. </w:t>
            </w:r>
            <w:r>
              <w:rPr>
                <w:rFonts w:ascii="Times New Roman" w:eastAsia="方正仿宋_GBK" w:cs="Times New Roman"/>
              </w:rPr>
              <w:t>"Padrão Nacional de Segurança Alimentar para Algas e Seus Produtos" (GB 19643).</w:t>
            </w:r>
          </w:p>
          <w:p w:rsidR="00490BD9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7.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hyperlink r:id="rId8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Padrões Nacionais de Segurança Alimentar para o Uso de Aditivos Alimentares" ( </w:t>
              </w:r>
            </w:hyperlink>
            <w:hyperlink r:id="rId9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GB 2760 </w:t>
              </w:r>
            </w:hyperlink>
            <w:hyperlink r:id="rId10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)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490BD9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8.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"Limites do padrão nacional de segurança alimentar para micotoxinas em alimentos" (GB 2761).</w:t>
            </w:r>
          </w:p>
          <w:p w:rsidR="00490BD9" w:rsidRDefault="00A969A8">
            <w:pPr>
              <w:pStyle w:val="10010"/>
              <w:adjustRightInd w:val="0"/>
              <w:snapToGrid w:val="0"/>
              <w:spacing w:line="400" w:lineRule="exac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9.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</w:t>
            </w:r>
            <w:hyperlink r:id="rId11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>Normas Nacionais de Segurança Alimentar"</w:t>
              </w:r>
            </w:hyperlink>
            <w:hyperlink r:id="rId12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  </w:t>
              </w:r>
            </w:hyperlink>
            <w:hyperlink r:id="rId13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Limites de contaminantes em alimentos" ( </w:t>
              </w:r>
            </w:hyperlink>
            <w:hyperlink r:id="rId14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GB 2762 </w:t>
              </w:r>
            </w:hyperlink>
            <w:hyperlink r:id="rId15" w:history="1">
              <w:r>
                <w:rPr>
                  <w:rFonts w:ascii="Times New Roman" w:eastAsia="方正仿宋_GBK" w:cs="Times New Roman"/>
                  <w:color w:val="000000"/>
                  <w:kern w:val="0"/>
                  <w:sz w:val="24"/>
                  <w:szCs w:val="24"/>
                </w:rPr>
                <w:t xml:space="preserve">) </w:t>
              </w:r>
            </w:hyperlink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t xml:space="preserve">10. </w:t>
            </w:r>
            <w:r>
              <w:rPr>
                <w:rFonts w:ascii="Times New Roman" w:eastAsia="方正仿宋_GBK" w:cs="Times New Roman"/>
              </w:rPr>
              <w:t xml:space="preserve">Limites Máximos de Resíduos de Pesticidas em Alimentos do Padrão Nacional de Segurança Alimentar (GB 2763 )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lastRenderedPageBreak/>
              <w:t>"Padrão Nacional de Segurança Alimentar para Limitar a Concentração de Substâncias Radioativas em Alimentos" (GB 14882).</w:t>
            </w:r>
          </w:p>
          <w:p w:rsidR="00490BD9" w:rsidRDefault="00A969A8">
            <w:pPr>
              <w:pStyle w:val="9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"Padrão Nacional de Segurança Alimentar para Pepinos do Mar Secos" (GB 31602).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 </w:t>
            </w:r>
            <w:r>
              <w:rPr>
                <w:rFonts w:ascii="Times New Roman" w:eastAsia="方正仿宋_GBK" w:cs="Times New Roman"/>
              </w:rPr>
              <w:t xml:space="preserve">1 </w:t>
            </w:r>
            <w:r>
              <w:rPr>
                <w:rFonts w:ascii="Times New Roman" w:eastAsia="方正仿宋_GBK" w:cs="Times New Roman" w:hint="eastAsia"/>
              </w:rPr>
              <w:t>.1 Fornecer itens de inspeção de produto acabado, indicadores, m</w:t>
            </w:r>
            <w:r>
              <w:rPr>
                <w:rFonts w:ascii="Times New Roman" w:eastAsia="方正仿宋_GBK" w:cs="Times New Roman" w:hint="eastAsia"/>
              </w:rPr>
              <w:t>é</w:t>
            </w:r>
            <w:r>
              <w:rPr>
                <w:rFonts w:ascii="Times New Roman" w:eastAsia="方正仿宋_GBK" w:cs="Times New Roman" w:hint="eastAsia"/>
              </w:rPr>
              <w:t>todos de inspeção e frequ</w:t>
            </w:r>
            <w:r>
              <w:rPr>
                <w:rFonts w:ascii="Times New Roman" w:eastAsia="方正仿宋_GBK" w:cs="Times New Roman" w:hint="eastAsia"/>
              </w:rPr>
              <w:t>ê</w:t>
            </w:r>
            <w:r>
              <w:rPr>
                <w:rFonts w:ascii="Times New Roman" w:eastAsia="方正仿宋_GBK" w:cs="Times New Roman" w:hint="eastAsia"/>
              </w:rPr>
              <w:t>ncia.</w:t>
            </w:r>
          </w:p>
          <w:p w:rsidR="00490BD9" w:rsidRDefault="00A969A8">
            <w:pPr>
              <w:pStyle w:val="8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  <w:bCs/>
              </w:rPr>
              <w:t xml:space="preserve">1 </w:t>
            </w:r>
            <w:r>
              <w:rPr>
                <w:rFonts w:ascii="Times New Roman" w:eastAsia="方正仿宋_GBK" w:cs="Times New Roman"/>
                <w:bCs/>
              </w:rPr>
              <w:t xml:space="preserve">1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.2 </w:t>
            </w:r>
            <w:r>
              <w:rPr>
                <w:rFonts w:ascii="Times New Roman" w:eastAsia="方正仿宋_GBK" w:cs="Times New Roman"/>
                <w:bCs/>
              </w:rPr>
              <w:t xml:space="preserve">A empresa possui seu próprio laboratório e envia certificados de capacidades e qualificações laboratoriais da empresa </w:t>
            </w:r>
            <w:r>
              <w:rPr>
                <w:rFonts w:ascii="Times New Roman" w:eastAsia="方正仿宋_GBK" w:cs="Times New Roman" w:hint="eastAsia"/>
                <w:bCs/>
              </w:rPr>
              <w:t xml:space="preserve">; a empresa confia </w:t>
            </w:r>
            <w:r>
              <w:rPr>
                <w:rFonts w:ascii="Times New Roman" w:eastAsia="方正仿宋_GBK" w:cs="Times New Roman"/>
                <w:bCs/>
              </w:rPr>
              <w:t xml:space="preserve">a um </w:t>
            </w:r>
            <w:r>
              <w:rPr>
                <w:rFonts w:ascii="Times New Roman" w:eastAsia="方正仿宋_GBK" w:cs="Times New Roman"/>
                <w:bCs/>
              </w:rPr>
              <w:lastRenderedPageBreak/>
              <w:t xml:space="preserve">laboratório terceirizado confiado para fornecer qualificações </w:t>
            </w:r>
            <w:r>
              <w:rPr>
                <w:rFonts w:ascii="Times New Roman" w:eastAsia="方正仿宋_GBK" w:cs="Times New Roman" w:hint="eastAsia"/>
                <w:bCs/>
              </w:rPr>
              <w:t>laboratoriais confiadas ;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 w:hint="eastAsia"/>
              </w:rPr>
              <w:lastRenderedPageBreak/>
              <w:t xml:space="preserve">1. Os itens de inspeção de produtos acabados </w:t>
            </w:r>
            <w:r>
              <w:rPr>
                <w:rFonts w:ascii="Times New Roman" w:eastAsia="方正仿宋_GBK" w:cs="Times New Roman"/>
              </w:rPr>
              <w:t xml:space="preserve">estão em conformidade com os padrões chineses </w:t>
            </w:r>
            <w:r>
              <w:rPr>
                <w:rFonts w:ascii="Times New Roman" w:eastAsia="方正仿宋_GBK" w:cs="Times New Roman" w:hint="eastAsia"/>
              </w:rPr>
              <w:t>.</w:t>
            </w:r>
          </w:p>
          <w:p w:rsidR="00490BD9" w:rsidRDefault="00490BD9">
            <w:pPr>
              <w:pStyle w:val="7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9910"/>
              <w:adjustRightInd w:val="0"/>
              <w:snapToGrid w:val="0"/>
              <w:spacing w:line="400" w:lineRule="exact"/>
              <w:ind w:firstLineChars="0" w:firstLine="0"/>
              <w:rPr>
                <w:rFonts w:asci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sz w:val="24"/>
                <w:szCs w:val="24"/>
              </w:rPr>
              <w:t>□Não atende</w:t>
            </w:r>
          </w:p>
          <w:p w:rsidR="00490BD9" w:rsidRDefault="00490BD9">
            <w:pPr>
              <w:pStyle w:val="60"/>
              <w:snapToGrid w:val="0"/>
              <w:spacing w:line="400" w:lineRule="exact"/>
              <w:jc w:val="both"/>
              <w:rPr>
                <w:rFonts w:ascii="Times New Roman" w:eastAsia="方正仿宋_GBK" w:cs="Times New Roman"/>
              </w:rPr>
            </w:pPr>
          </w:p>
        </w:tc>
        <w:tc>
          <w:tcPr>
            <w:tcW w:w="1248" w:type="dxa"/>
          </w:tcPr>
          <w:p w:rsidR="00490BD9" w:rsidRDefault="00490BD9">
            <w:pPr>
              <w:pStyle w:val="5"/>
              <w:snapToGrid w:val="0"/>
              <w:spacing w:line="400" w:lineRule="exact"/>
              <w:rPr>
                <w:rFonts w:ascii="Times New Roman" w:eastAsia="方正仿宋_GBK" w:cs="Times New Roman"/>
              </w:rPr>
            </w:pPr>
          </w:p>
        </w:tc>
      </w:tr>
      <w:tr w:rsidR="00490BD9">
        <w:trPr>
          <w:trHeight w:val="478"/>
          <w:jc w:val="center"/>
        </w:trPr>
        <w:tc>
          <w:tcPr>
            <w:tcW w:w="14174" w:type="dxa"/>
            <w:gridSpan w:val="7"/>
            <w:vAlign w:val="center"/>
          </w:tcPr>
          <w:p w:rsidR="00490BD9" w:rsidRDefault="00A969A8">
            <w:pPr>
              <w:pStyle w:val="4"/>
              <w:snapToGrid w:val="0"/>
              <w:spacing w:line="400" w:lineRule="exact"/>
              <w:jc w:val="center"/>
              <w:rPr>
                <w:rFonts w:ascii="Times New Roman" w:eastAsia="方正仿宋_GBK" w:cs="Times New Roman"/>
                <w:bCs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lastRenderedPageBreak/>
              <w:t>12. Declara</w:t>
            </w: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t>çã</w:t>
            </w:r>
            <w:r>
              <w:rPr>
                <w:rFonts w:ascii="方正楷体_GBK" w:eastAsia="方正楷体_GBK" w:cs="Times New Roman" w:hint="eastAsia"/>
                <w:b/>
                <w:bCs/>
                <w:snapToGrid w:val="0"/>
                <w:color w:val="auto"/>
                <w:kern w:val="2"/>
              </w:rPr>
              <w:t>o</w:t>
            </w:r>
          </w:p>
        </w:tc>
      </w:tr>
      <w:tr w:rsidR="00490BD9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98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Declaração Corporativa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97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1. Artigos 8.º e 9.º das "Disposi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çõ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es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da República Popular da China relativas ao registo e gestão de empresas estrangeiras de produção de alimentos importados"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9610"/>
              <w:snapToGrid w:val="0"/>
              <w:spacing w:line="0" w:lineRule="atLeast"/>
              <w:rPr>
                <w:rFonts w:ascii="Times New Roman" w:eastAsia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12.1 Preencher 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Formul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rio de Solicitação de Registro de Empreendimentos Ultramarinos de Produção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Produtos Aquáticos Importados” 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9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Dever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ter a assinatura da pessoa colectiva e o selo da empresa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9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□Não atende</w:t>
            </w:r>
          </w:p>
        </w:tc>
        <w:tc>
          <w:tcPr>
            <w:tcW w:w="1248" w:type="dxa"/>
          </w:tcPr>
          <w:p w:rsidR="00490BD9" w:rsidRDefault="00490BD9">
            <w:pPr>
              <w:pStyle w:val="93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0BD9">
        <w:trPr>
          <w:trHeight w:val="478"/>
          <w:jc w:val="center"/>
        </w:trPr>
        <w:tc>
          <w:tcPr>
            <w:tcW w:w="1591" w:type="dxa"/>
            <w:gridSpan w:val="2"/>
            <w:vAlign w:val="center"/>
          </w:tcPr>
          <w:p w:rsidR="00490BD9" w:rsidRDefault="00A969A8">
            <w:pPr>
              <w:pStyle w:val="92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Confirmação pela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autoridade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competente</w:t>
            </w:r>
          </w:p>
        </w:tc>
        <w:tc>
          <w:tcPr>
            <w:tcW w:w="4083" w:type="dxa"/>
            <w:vAlign w:val="center"/>
          </w:tcPr>
          <w:p w:rsidR="00490BD9" w:rsidRDefault="00A969A8">
            <w:pPr>
              <w:pStyle w:val="9110"/>
              <w:spacing w:line="400" w:lineRule="exac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1. Artigos 8.º e 9.º das "Disposi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>çõ</w:t>
            </w:r>
            <w:r>
              <w:rPr>
                <w:rFonts w:ascii="方正仿宋_GBK" w:eastAsia="方正仿宋_GBK" w:cs="仿宋" w:hint="eastAsia"/>
                <w:color w:val="000000"/>
                <w:sz w:val="24"/>
                <w:szCs w:val="24"/>
              </w:rPr>
              <w:t xml:space="preserve">es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da República Popular da China relativas ao registo e gestão de empresas estrangeiras de produção de alimentos importados"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2721" w:type="dxa"/>
            <w:vAlign w:val="center"/>
          </w:tcPr>
          <w:p w:rsidR="00490BD9" w:rsidRDefault="00A969A8">
            <w:pPr>
              <w:pStyle w:val="90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Preencher o “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Formul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rio de Solicitação de Registro de Empreendimentos Ultramarinos de Produção 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Produtos Aquáticos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Importados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3053" w:type="dxa"/>
            <w:vAlign w:val="center"/>
          </w:tcPr>
          <w:p w:rsidR="00490BD9" w:rsidRDefault="00A969A8">
            <w:pPr>
              <w:pStyle w:val="86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Deve ser assinado pela autoridade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competente e carimbado pela autoridade competente.</w:t>
            </w:r>
          </w:p>
        </w:tc>
        <w:tc>
          <w:tcPr>
            <w:tcW w:w="1478" w:type="dxa"/>
            <w:vAlign w:val="center"/>
          </w:tcPr>
          <w:p w:rsidR="00490BD9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com</w:t>
            </w:r>
          </w:p>
          <w:p w:rsidR="00490BD9" w:rsidRDefault="00A969A8">
            <w:pPr>
              <w:pStyle w:val="85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□Não atende</w:t>
            </w:r>
          </w:p>
        </w:tc>
        <w:tc>
          <w:tcPr>
            <w:tcW w:w="1248" w:type="dxa"/>
          </w:tcPr>
          <w:p w:rsidR="00490BD9" w:rsidRDefault="00490BD9">
            <w:pPr>
              <w:pStyle w:val="8410"/>
              <w:snapToGrid w:val="0"/>
              <w:spacing w:line="400" w:lineRule="exac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90BD9" w:rsidRDefault="00490BD9">
      <w:pPr>
        <w:adjustRightInd w:val="0"/>
        <w:snapToGrid w:val="0"/>
        <w:rPr>
          <w:rFonts w:ascii="方正楷体_GBK" w:eastAsia="方正楷体_GBK" w:cs="Times New Roman"/>
          <w:color w:val="000000"/>
          <w:sz w:val="32"/>
          <w:szCs w:val="32"/>
        </w:rPr>
        <w:sectPr w:rsidR="00490BD9">
          <w:footerReference w:type="default" r:id="rId16"/>
          <w:pgSz w:w="16840" w:h="11907" w:orient="landscape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490BD9" w:rsidRDefault="00490BD9">
      <w:pPr>
        <w:pStyle w:val="6710"/>
        <w:autoSpaceDN w:val="0"/>
        <w:adjustRightInd w:val="0"/>
        <w:snapToGrid w:val="0"/>
        <w:spacing w:line="400" w:lineRule="exact"/>
        <w:ind w:firstLineChars="0" w:firstLine="0"/>
        <w:jc w:val="left"/>
        <w:rPr>
          <w:rFonts w:ascii="方正黑体_GBK" w:eastAsia="方正黑体_GBK" w:cs="Arial"/>
          <w:sz w:val="24"/>
          <w:szCs w:val="24"/>
        </w:rPr>
      </w:pPr>
    </w:p>
    <w:p w:rsidR="00A969A8" w:rsidRDefault="00A969A8">
      <w:pPr>
        <w:pStyle w:val="Default"/>
        <w:snapToGrid w:val="0"/>
        <w:rPr>
          <w:rFonts w:ascii="Times New Roman" w:eastAsia="方正仿宋_GBK" w:cs="Times New Roman"/>
        </w:rPr>
      </w:pPr>
    </w:p>
    <w:sectPr w:rsidR="00A969A8"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4C" w:rsidRDefault="009B724C" w:rsidP="003A2A60">
      <w:r>
        <w:separator/>
      </w:r>
    </w:p>
  </w:endnote>
  <w:endnote w:type="continuationSeparator" w:id="0">
    <w:p w:rsidR="009B724C" w:rsidRDefault="009B724C" w:rsidP="003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60" w:rsidRPr="003A2A60" w:rsidRDefault="003A2A60" w:rsidP="003A2A60">
    <w:pPr>
      <w:pStyle w:val="a5"/>
      <w:jc w:val="right"/>
      <w:rPr>
        <w:color w:val="808080" w:themeColor="background1" w:themeShade="80"/>
      </w:rPr>
    </w:pPr>
    <w:r w:rsidRPr="003A2A60">
      <w:rPr>
        <w:color w:val="808080" w:themeColor="background1" w:themeShade="80"/>
      </w:rPr>
      <w:t>r</w:t>
    </w:r>
    <w:r w:rsidR="00E0793E">
      <w:rPr>
        <w:color w:val="808080" w:themeColor="background1" w:themeShade="80"/>
      </w:rPr>
      <w:t>egistry</w:t>
    </w:r>
    <w:r w:rsidRPr="003A2A60">
      <w:rPr>
        <w:color w:val="808080" w:themeColor="background1" w:themeShade="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4C" w:rsidRDefault="009B724C" w:rsidP="003A2A60">
      <w:r>
        <w:separator/>
      </w:r>
    </w:p>
  </w:footnote>
  <w:footnote w:type="continuationSeparator" w:id="0">
    <w:p w:rsidR="009B724C" w:rsidRDefault="009B724C" w:rsidP="003A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0281DC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9FFE5F0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ED06A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8662F1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1E6F3A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EA64B8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F148DE1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91D2CB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D898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36290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22"/>
    <w:rsid w:val="000F5248"/>
    <w:rsid w:val="000F5880"/>
    <w:rsid w:val="003A2A60"/>
    <w:rsid w:val="004629E5"/>
    <w:rsid w:val="00490BD9"/>
    <w:rsid w:val="009B724C"/>
    <w:rsid w:val="00A46088"/>
    <w:rsid w:val="00A969A8"/>
    <w:rsid w:val="00CC6952"/>
    <w:rsid w:val="00CF18DA"/>
    <w:rsid w:val="00D32D37"/>
    <w:rsid w:val="00D4633B"/>
    <w:rsid w:val="00E0793E"/>
    <w:rsid w:val="00F1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4"/>
    <w:pPr>
      <w:widowControl w:val="0"/>
      <w:jc w:val="both"/>
    </w:pPr>
    <w:rPr>
      <w:rFonts w:ascii="宋体" w:eastAsia="宋体"/>
      <w:kern w:val="2"/>
      <w:sz w:val="21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10">
    <w:name w:val="列出段落1"/>
    <w:basedOn w:val="a"/>
    <w:pPr>
      <w:ind w:firstLineChars="200" w:firstLine="200"/>
    </w:pPr>
    <w:rPr>
      <w:rFonts w:ascii="Calibri" w:eastAsia="宋体" w:hAnsi="Calibri" w:cs="黑体"/>
    </w:rPr>
  </w:style>
  <w:style w:type="paragraph" w:styleId="a6">
    <w:name w:val="table of figures"/>
    <w:basedOn w:val="a"/>
    <w:next w:val="a"/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next w:val="a6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next w:val="81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7">
    <w:name w:val="Balloon Text"/>
    <w:basedOn w:val="a"/>
    <w:rPr>
      <w:sz w:val="18"/>
      <w:szCs w:val="18"/>
    </w:rPr>
  </w:style>
  <w:style w:type="paragraph" w:customStyle="1" w:styleId="20">
    <w:name w:val="列出段落2"/>
    <w:basedOn w:val="a"/>
    <w:pPr>
      <w:ind w:firstLineChars="200" w:firstLine="200"/>
    </w:pPr>
    <w:rPr>
      <w:rFonts w:ascii="Times New Roman" w:eastAsia="宋体" w:cs="Times New Roman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6">
    <w:name w:val="toc 6"/>
    <w:basedOn w:val="a"/>
    <w:next w:val="a"/>
    <w:autoRedefine/>
    <w:pPr>
      <w:ind w:left="2100"/>
    </w:pPr>
  </w:style>
  <w:style w:type="paragraph" w:styleId="7">
    <w:name w:val="toc 7"/>
    <w:basedOn w:val="a"/>
    <w:next w:val="a"/>
    <w:autoRedefine/>
    <w:pPr>
      <w:ind w:left="2520"/>
    </w:pPr>
  </w:style>
  <w:style w:type="paragraph" w:styleId="21">
    <w:name w:val="List 2"/>
    <w:basedOn w:val="a"/>
    <w:pPr>
      <w:ind w:left="840" w:hanging="420"/>
    </w:pPr>
  </w:style>
  <w:style w:type="paragraph" w:styleId="3">
    <w:name w:val="List 3"/>
    <w:basedOn w:val="a"/>
    <w:pPr>
      <w:ind w:left="1260" w:hanging="420"/>
    </w:pPr>
  </w:style>
  <w:style w:type="paragraph" w:styleId="30">
    <w:name w:val="Body Text Indent 3"/>
    <w:basedOn w:val="a"/>
    <w:pPr>
      <w:spacing w:after="120"/>
      <w:ind w:left="420"/>
    </w:pPr>
    <w:rPr>
      <w:sz w:val="16"/>
    </w:rPr>
  </w:style>
  <w:style w:type="paragraph" w:styleId="a9">
    <w:name w:val="Block Text"/>
    <w:basedOn w:val="a"/>
    <w:pPr>
      <w:spacing w:after="120"/>
      <w:ind w:left="140" w:rightChars="700" w:right="700"/>
    </w:pPr>
  </w:style>
  <w:style w:type="character" w:styleId="aa">
    <w:name w:val="Emphasis"/>
    <w:basedOn w:val="a0"/>
    <w:qFormat/>
    <w:rPr>
      <w:i/>
    </w:rPr>
  </w:style>
  <w:style w:type="paragraph" w:customStyle="1" w:styleId="2310">
    <w:name w:val="样式 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next w:val="6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10">
    <w:name w:val="样式 36 10 磅"/>
    <w:next w:val="7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next w:val="a9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next w:val="3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b">
    <w:name w:val="样式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">
    <w:name w:val="样式 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4610">
    <w:name w:val="样式 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">
    <w:name w:val="样式 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">
    <w:name w:val="样式 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10">
    <w:name w:val="样式 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4410">
    <w:name w:val="样式 24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styleId="ac">
    <w:name w:val="FollowedHyperlink"/>
    <w:basedOn w:val="a0"/>
    <w:rPr>
      <w:color w:val="800080"/>
      <w:u w:val="single"/>
    </w:rPr>
  </w:style>
  <w:style w:type="paragraph" w:customStyle="1" w:styleId="641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710">
    <w:name w:val="样式 6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810">
    <w:name w:val="样式 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010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110">
    <w:name w:val="样式 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210">
    <w:name w:val="样式 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next w:val="7010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">
    <w:name w:val="样式 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5">
    <w:name w:val="样式 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910">
    <w:name w:val="样式 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">
    <w:name w:val="样式 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70">
    <w:name w:val="样式 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8">
    <w:name w:val="样式 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9">
    <w:name w:val="样式 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">
    <w:name w:val="样式 1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">
    <w:name w:val="样式 1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">
    <w:name w:val="样式 1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">
    <w:name w:val="样式 1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110">
    <w:name w:val="样式 10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">
    <w:name w:val="样式 1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">
    <w:name w:val="样式 1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">
    <w:name w:val="样式 1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">
    <w:name w:val="样式 1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">
    <w:name w:val="样式 1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">
    <w:name w:val="样式 1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00">
    <w:name w:val="样式 2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11">
    <w:name w:val="样式 2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710">
    <w:name w:val="样式 10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">
    <w:name w:val="样式 2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">
    <w:name w:val="样式 2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">
    <w:name w:val="样式 2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">
    <w:name w:val="样式 2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6">
    <w:name w:val="样式 2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">
    <w:name w:val="样式 2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">
    <w:name w:val="样式 2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3810">
    <w:name w:val="样式 1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">
    <w:name w:val="样式 2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0">
    <w:name w:val="样式 3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">
    <w:name w:val="样式 3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">
    <w:name w:val="样式 32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">
    <w:name w:val="样式 33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">
    <w:name w:val="样式 34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">
    <w:name w:val="样式 35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6">
    <w:name w:val="样式 36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">
    <w:name w:val="样式 37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">
    <w:name w:val="样式 38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">
    <w:name w:val="样式 39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">
    <w:name w:val="样式 40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2410">
    <w:name w:val="样式 22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110">
    <w:name w:val="样式 23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25410">
    <w:name w:val="样式 2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">
    <w:name w:val="样式 41 小四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10">
    <w:name w:val="样式 26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210">
    <w:name w:val="样式 26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310">
    <w:name w:val="样式 2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410">
    <w:name w:val="样式 2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510">
    <w:name w:val="样式 2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610">
    <w:name w:val="样式 2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710">
    <w:name w:val="样式 26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810">
    <w:name w:val="样式 2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910">
    <w:name w:val="样式 26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010">
    <w:name w:val="样式 27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10">
    <w:name w:val="样式 27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210">
    <w:name w:val="样式 2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310">
    <w:name w:val="样式 2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410">
    <w:name w:val="样式 2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510">
    <w:name w:val="样式 2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610">
    <w:name w:val="样式 2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710">
    <w:name w:val="样式 2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810">
    <w:name w:val="样式 27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910">
    <w:name w:val="样式 27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010">
    <w:name w:val="样式 28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10">
    <w:name w:val="样式 28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210">
    <w:name w:val="样式 28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310">
    <w:name w:val="样式 28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410">
    <w:name w:val="样式 28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510">
    <w:name w:val="样式 28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610">
    <w:name w:val="样式 28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710">
    <w:name w:val="样式 28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810">
    <w:name w:val="样式 28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910">
    <w:name w:val="样式 2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010">
    <w:name w:val="样式 2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10">
    <w:name w:val="样式 29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210">
    <w:name w:val="样式 29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310">
    <w:name w:val="样式 29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410">
    <w:name w:val="样式 29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510">
    <w:name w:val="样式 29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610">
    <w:name w:val="样式 29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710">
    <w:name w:val="样式 29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810">
    <w:name w:val="样式 29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910">
    <w:name w:val="样式 29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4011</Words>
  <Characters>22868</Characters>
  <Application>Microsoft Office Word</Application>
  <DocSecurity>0</DocSecurity>
  <Lines>190</Lines>
  <Paragraphs>53</Paragraphs>
  <ScaleCrop>false</ScaleCrop>
  <Company>Microsoft</Company>
  <LinksUpToDate>false</LinksUpToDate>
  <CharactersWithSpaces>26826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Jiang</dc:creator>
  <cp:lastModifiedBy>admin</cp:lastModifiedBy>
  <cp:revision>3</cp:revision>
  <dcterms:created xsi:type="dcterms:W3CDTF">2024-12-07T09:55:00Z</dcterms:created>
  <dcterms:modified xsi:type="dcterms:W3CDTF">2024-12-12T10:37:00Z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